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2024年</w:t>
      </w:r>
      <w:r>
        <w:rPr>
          <w:rFonts w:hint="eastAsia" w:ascii="宋体" w:hAnsi="宋体" w:cs="宋体"/>
          <w:b/>
          <w:bCs/>
          <w:sz w:val="44"/>
          <w:szCs w:val="44"/>
          <w:lang w:val="en-US" w:eastAsia="zh-CN"/>
        </w:rPr>
        <w:t>下</w:t>
      </w:r>
      <w:r>
        <w:rPr>
          <w:rFonts w:hint="eastAsia" w:ascii="宋体" w:hAnsi="宋体" w:eastAsia="宋体" w:cs="宋体"/>
          <w:b/>
          <w:bCs/>
          <w:sz w:val="44"/>
          <w:szCs w:val="44"/>
          <w:lang w:val="en-US" w:eastAsia="zh-CN"/>
        </w:rPr>
        <w:t>半年第三支柱信息披露报告</w:t>
      </w:r>
    </w:p>
    <w:p>
      <w:pPr>
        <w:jc w:val="both"/>
        <w:rPr>
          <w:rFonts w:hint="eastAsia"/>
          <w:sz w:val="18"/>
          <w:szCs w:val="18"/>
          <w:lang w:val="en-US" w:eastAsia="zh-CN"/>
        </w:rPr>
      </w:pPr>
    </w:p>
    <w:p>
      <w:pPr>
        <w:jc w:val="both"/>
        <w:rPr>
          <w:rFonts w:hint="eastAsia"/>
          <w:sz w:val="30"/>
          <w:szCs w:val="30"/>
          <w:lang w:val="en-US" w:eastAsia="zh-CN"/>
        </w:rPr>
      </w:pPr>
      <w:r>
        <w:rPr>
          <w:rFonts w:hint="eastAsia"/>
          <w:sz w:val="18"/>
          <w:szCs w:val="18"/>
          <w:lang w:val="en-US" w:eastAsia="zh-CN"/>
        </w:rPr>
        <w:t>表格KM1：监管并表关键审慎监管指标</w:t>
      </w:r>
    </w:p>
    <w:p>
      <w:pPr>
        <w:jc w:val="right"/>
        <w:rPr>
          <w:rFonts w:hint="eastAsia"/>
          <w:sz w:val="18"/>
          <w:szCs w:val="18"/>
          <w:lang w:val="en-US" w:eastAsia="zh-CN"/>
        </w:rPr>
      </w:pPr>
      <w:r>
        <w:rPr>
          <w:rFonts w:hint="eastAsia"/>
          <w:sz w:val="18"/>
          <w:szCs w:val="18"/>
          <w:lang w:val="en-US" w:eastAsia="zh-CN"/>
        </w:rPr>
        <w:t>单位：人民币万元</w:t>
      </w:r>
    </w:p>
    <w:tbl>
      <w:tblPr>
        <w:tblW w:w="8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532"/>
        <w:gridCol w:w="3110"/>
        <w:gridCol w:w="1975"/>
        <w:gridCol w:w="2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4642" w:type="dxa"/>
            <w:gridSpan w:val="2"/>
            <w:tcBorders>
              <w:top w:val="single" w:color="000000" w:sz="8" w:space="0"/>
              <w:left w:val="single" w:color="000000" w:sz="8" w:space="0"/>
              <w:bottom w:val="single" w:color="000000" w:sz="8" w:space="0"/>
              <w:right w:val="single" w:color="000000" w:sz="8" w:space="0"/>
            </w:tcBorders>
            <w:shd w:val="clear"/>
            <w:noWrap/>
            <w:vAlign w:val="center"/>
          </w:tcPr>
          <w:p>
            <w:pPr>
              <w:rPr>
                <w:rFonts w:hint="eastAsia" w:ascii="宋体" w:hAnsi="宋体" w:eastAsia="宋体" w:cs="宋体"/>
                <w:i w:val="0"/>
                <w:iCs w:val="0"/>
                <w:color w:val="000000"/>
                <w:sz w:val="22"/>
                <w:szCs w:val="22"/>
                <w:u w:val="none"/>
              </w:rPr>
            </w:pP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a</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4642" w:type="dxa"/>
            <w:gridSpan w:val="2"/>
            <w:tcBorders>
              <w:top w:val="nil"/>
              <w:left w:val="single" w:color="000000" w:sz="8" w:space="0"/>
              <w:bottom w:val="single" w:color="000000" w:sz="8" w:space="0"/>
              <w:right w:val="single" w:color="000000" w:sz="8" w:space="0"/>
            </w:tcBorders>
            <w:shd w:val="clear"/>
            <w:vAlign w:val="center"/>
          </w:tcPr>
          <w:p>
            <w:pPr>
              <w:rPr>
                <w:rFonts w:hint="default" w:ascii="仿宋_GB2312" w:hAnsi="宋体" w:eastAsia="仿宋_GB2312" w:cs="仿宋_GB2312"/>
                <w:i w:val="0"/>
                <w:iCs w:val="0"/>
                <w:color w:val="000000"/>
                <w:sz w:val="18"/>
                <w:szCs w:val="18"/>
                <w:u w:val="none"/>
              </w:rPr>
            </w:pP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2024年12月31日</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2024年9月30日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核心一级资本净额</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240185.24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240752.33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一级资本净额</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240185.24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240752.33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资本净额</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262773.79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263539.24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风险加权资产合计</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2025955.00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1965887.10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核心一级资本充足率（%）</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11.86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一级资本充足率（%）</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11.86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资本充足率（%）</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12.97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13.41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8</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储备资本要求（%）</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9</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逆周期资本要求（%）</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1"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10</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全球系统重要性银行或国内系统重要性银行附加资本要求（%）</w:t>
            </w:r>
          </w:p>
        </w:tc>
        <w:tc>
          <w:tcPr>
            <w:tcW w:w="1975" w:type="dxa"/>
            <w:tcBorders>
              <w:top w:val="nil"/>
              <w:left w:val="nil"/>
              <w:bottom w:val="single" w:color="000000" w:sz="8" w:space="0"/>
              <w:right w:val="single" w:color="000000" w:sz="8" w:space="0"/>
            </w:tcBorders>
            <w:shd w:val="clear"/>
            <w:vAlign w:val="center"/>
          </w:tcPr>
          <w:p>
            <w:pPr>
              <w:jc w:val="center"/>
              <w:rPr>
                <w:rFonts w:hint="default" w:ascii="仿宋_GB2312" w:hAnsi="宋体" w:eastAsia="仿宋_GB2312" w:cs="仿宋_GB2312"/>
                <w:i w:val="0"/>
                <w:iCs w:val="0"/>
                <w:color w:val="000000"/>
                <w:sz w:val="18"/>
                <w:szCs w:val="18"/>
                <w:u w:val="none"/>
              </w:rPr>
            </w:pPr>
          </w:p>
        </w:tc>
        <w:tc>
          <w:tcPr>
            <w:tcW w:w="2041" w:type="dxa"/>
            <w:tcBorders>
              <w:top w:val="nil"/>
              <w:left w:val="nil"/>
              <w:bottom w:val="single" w:color="000000" w:sz="8" w:space="0"/>
              <w:right w:val="single" w:color="000000" w:sz="8" w:space="0"/>
            </w:tcBorders>
            <w:shd w:val="clear"/>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19"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11</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其他各级资本要求（%）（8+9+10）</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1"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12</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满足最低资本要求后的可用核心一级资本净额占风险加权资产的比例（%）</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11.80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12.19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13</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调整后表内外资产余额</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3465792.38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3440437.35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14</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杠杆率（%）</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6.93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14a</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杠杆率a（%）</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6.93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15</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合格优质流动性资产</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554398.96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575565.57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16</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现金净流出量</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76094.51 </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222369.50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17</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流动性覆盖率（%）</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18</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可用稳定资金合计</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19</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所需稳定资金合计</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w:t>
            </w:r>
          </w:p>
        </w:tc>
        <w:tc>
          <w:tcPr>
            <w:tcW w:w="311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净稳定资金比例（%）</w:t>
            </w:r>
          </w:p>
        </w:tc>
        <w:tc>
          <w:tcPr>
            <w:tcW w:w="197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c>
          <w:tcPr>
            <w:tcW w:w="2041"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 w:hRule="atLeast"/>
          <w:jc w:val="center"/>
        </w:trPr>
        <w:tc>
          <w:tcPr>
            <w:tcW w:w="865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 w:hRule="atLeast"/>
          <w:jc w:val="center"/>
        </w:trPr>
        <w:tc>
          <w:tcPr>
            <w:tcW w:w="15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21</w:t>
            </w:r>
          </w:p>
        </w:tc>
        <w:tc>
          <w:tcPr>
            <w:tcW w:w="311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流动性比例（%）</w:t>
            </w:r>
          </w:p>
        </w:tc>
        <w:tc>
          <w:tcPr>
            <w:tcW w:w="197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127.13 </w:t>
            </w:r>
          </w:p>
        </w:tc>
        <w:tc>
          <w:tcPr>
            <w:tcW w:w="204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119.68 </w:t>
            </w:r>
          </w:p>
        </w:tc>
      </w:tr>
    </w:tbl>
    <w:p>
      <w:pPr>
        <w:rPr>
          <w:rFonts w:hint="eastAsia"/>
          <w:sz w:val="18"/>
          <w:szCs w:val="18"/>
        </w:rPr>
      </w:pPr>
      <w:r>
        <w:rPr>
          <w:rFonts w:hint="eastAsia"/>
          <w:sz w:val="18"/>
          <w:szCs w:val="18"/>
        </w:rPr>
        <w:t>表格CC1：资本构成</w:t>
      </w:r>
    </w:p>
    <w:p>
      <w:pPr>
        <w:jc w:val="right"/>
        <w:rPr>
          <w:rFonts w:hint="eastAsia"/>
          <w:sz w:val="18"/>
          <w:szCs w:val="18"/>
        </w:rPr>
      </w:pPr>
      <w:r>
        <w:rPr>
          <w:rFonts w:hint="eastAsia"/>
          <w:sz w:val="18"/>
          <w:szCs w:val="18"/>
        </w:rPr>
        <w:t>单位：人民币万元</w:t>
      </w:r>
    </w:p>
    <w:tbl>
      <w:tblPr>
        <w:tblW w:w="86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421"/>
        <w:gridCol w:w="6112"/>
        <w:gridCol w:w="21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6533" w:type="dxa"/>
            <w:gridSpan w:val="2"/>
            <w:tcBorders>
              <w:top w:val="single" w:color="000000" w:sz="8" w:space="0"/>
              <w:left w:val="single" w:color="000000" w:sz="8" w:space="0"/>
              <w:bottom w:val="single" w:color="000000" w:sz="8" w:space="0"/>
              <w:right w:val="single" w:color="000000" w:sz="8" w:space="0"/>
            </w:tcBorders>
            <w:shd w:val="clear"/>
            <w:noWrap/>
            <w:vAlign w:val="center"/>
          </w:tcPr>
          <w:p>
            <w:pPr>
              <w:rPr>
                <w:rFonts w:hint="eastAsia" w:ascii="宋体" w:hAnsi="宋体" w:eastAsia="宋体" w:cs="宋体"/>
                <w:i w:val="0"/>
                <w:iCs w:val="0"/>
                <w:color w:val="000000"/>
                <w:sz w:val="22"/>
                <w:szCs w:val="22"/>
                <w:u w:val="none"/>
              </w:rPr>
            </w:pP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2024年12月31日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6533" w:type="dxa"/>
            <w:gridSpan w:val="2"/>
            <w:tcBorders>
              <w:top w:val="nil"/>
              <w:left w:val="single" w:color="000000" w:sz="8" w:space="0"/>
              <w:bottom w:val="single" w:color="000000" w:sz="8" w:space="0"/>
              <w:right w:val="single" w:color="000000" w:sz="8" w:space="0"/>
            </w:tcBorders>
            <w:shd w:val="clear"/>
            <w:vAlign w:val="center"/>
          </w:tcPr>
          <w:p>
            <w:pPr>
              <w:rPr>
                <w:rFonts w:hint="default" w:ascii="仿宋_GB2312" w:hAnsi="宋体" w:eastAsia="仿宋_GB2312" w:cs="仿宋_GB2312"/>
                <w:i w:val="0"/>
                <w:iCs w:val="0"/>
                <w:color w:val="000000"/>
                <w:sz w:val="18"/>
                <w:szCs w:val="18"/>
                <w:u w:val="none"/>
              </w:rPr>
            </w:pP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实收资本和资本公积可计入部分</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146772.57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留存收益</w:t>
            </w:r>
          </w:p>
        </w:tc>
        <w:tc>
          <w:tcPr>
            <w:tcW w:w="2157" w:type="dxa"/>
            <w:tcBorders>
              <w:top w:val="nil"/>
              <w:left w:val="nil"/>
              <w:bottom w:val="single" w:color="000000" w:sz="8" w:space="0"/>
              <w:right w:val="single" w:color="000000" w:sz="8" w:space="0"/>
            </w:tcBorders>
            <w:shd w:val="clear"/>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2a</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盈余公积</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24949.47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2b</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一般风险准备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46996.73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2c</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未分配利润</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26231.74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累计其他综合收益</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433.49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扣除前的核心一级资本</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245383.99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审慎估值调整</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商誉（扣除递延税负债）</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其他无形资产（土地使用权除外）（扣除递延税负债）</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664.84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依赖未来盈利的由经营亏损引起的净递延税资产</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29005.83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10</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对未按公允价值计量的项目进行套期形成的现金流储备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11</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损失准备缺口</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12</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资产证券化销售利得</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自身信用风险变化导致其负债公允价值变化带来的未实现损益</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确定受益类的养老金资产净额（扣除递延税项负债）</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15</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直接或间接持有本银行的股票</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银行间或银行与其他金融机构间通过协议相互持有的核心一级资本</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对未并表金融机构小额少数资本投资中的核心一级资本中应扣除金额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对未并表金融机构大额少数资本投资中的核心一级资本中应扣除金额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其他依赖于银行未来盈利的净递延税资产中应扣除金额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4533.91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对未并表金融机构大额少数资本投资中的核心一级资本和其他依赖于银行未来盈利的净递延税资产的未扣除部分超过核心一级资本15%的应扣除金额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21</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其中：应在对金融机构大额少数资本投资中扣除的金额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22</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其中：应在其他依赖于银行未来盈利的净递延税资产中扣除的金额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其他应在核心一级资本中扣除的项目合计</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应从其他一级资本和二级资本中扣除的未扣缺口</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核心一级资本扣除项总和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5198.75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核心一级资本净额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27</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其他一级资本工具及其溢价</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其中：权益部分</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29</w:t>
            </w:r>
          </w:p>
        </w:tc>
        <w:tc>
          <w:tcPr>
            <w:tcW w:w="6112" w:type="dxa"/>
            <w:tcBorders>
              <w:top w:val="nil"/>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其中：负债部分</w:t>
            </w:r>
          </w:p>
        </w:tc>
        <w:tc>
          <w:tcPr>
            <w:tcW w:w="2157" w:type="dxa"/>
            <w:tcBorders>
              <w:top w:val="nil"/>
              <w:left w:val="nil"/>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single" w:color="auto" w:sz="4" w:space="0"/>
              <w:left w:val="single" w:color="auto" w:sz="4"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bookmarkStart w:id="0" w:name="_GoBack" w:colFirst="0" w:colLast="2"/>
            <w:r>
              <w:rPr>
                <w:rFonts w:hint="default" w:ascii="仿宋_GB2312" w:hAnsi="宋体" w:eastAsia="仿宋_GB2312" w:cs="仿宋_GB2312"/>
                <w:i w:val="0"/>
                <w:iCs w:val="0"/>
                <w:color w:val="000000"/>
                <w:kern w:val="0"/>
                <w:sz w:val="18"/>
                <w:szCs w:val="18"/>
                <w:u w:val="none"/>
                <w:bdr w:val="none" w:color="auto" w:sz="0" w:space="0"/>
                <w:lang w:val="en-US" w:eastAsia="zh-CN" w:bidi="ar"/>
              </w:rPr>
              <w:t>30</w:t>
            </w:r>
          </w:p>
        </w:tc>
        <w:tc>
          <w:tcPr>
            <w:tcW w:w="6112" w:type="dxa"/>
            <w:tcBorders>
              <w:top w:val="single" w:color="auto" w:sz="4" w:space="0"/>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1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single" w:color="auto" w:sz="4"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31</w:t>
            </w:r>
          </w:p>
        </w:tc>
        <w:tc>
          <w:tcPr>
            <w:tcW w:w="6112"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扣除前的其他一级资本</w:t>
            </w:r>
          </w:p>
        </w:tc>
        <w:tc>
          <w:tcPr>
            <w:tcW w:w="2157"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32</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直接或间接持有的本银行其他一级资本</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银行间或银行与其他金融机构间通过协议相互持有的其他一级资本</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对未并表金融机构小额少数资本投资中的其他一级资本中应扣除金额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35</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对未并表金融机构大额少数资本投资中的其他一级资本</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其他应在其他一级资本中扣除的项目合计</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应从二级资本中扣除的未扣缺口</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其他一级资本扣除项总和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其他一级资本净额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40</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一级资本净额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41</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二级资本工具及其溢价</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42</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超额损失准备可计入部分</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22588.55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扣除前的二级资本</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22588.55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45</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直接或间接持有的本银行的二级资本</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银行间或银行与其他金融机构间通过协议相互持有的二级资本投资及TLAC非资本债务工具投资</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对未并表金融机构小额少数资本投资中的二级资本应扣除金额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47a</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对未并表金融机构的小额投资中的TLAC非资本债务工具中应扣除金额（仅适用全球系统重要性银行）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对未并表金融机构大额少数资本投资中的二级资本应扣除金额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48a</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对未并表金融机构大额投资中的TLAC非资本债务工具中应扣除金额（仅适用全球系统重要性银行）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其他应在二级资本中扣除的项目合计</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50</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二级资本扣除项总和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51</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二级资本净额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22588.55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52</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总资本净额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262773.79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风险加权资产</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2025955.00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54</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核心一级资本充足率（%）</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55</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一级资本充足率（%）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资本充足率（%）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12.97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其他各级资本要求（%）</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58</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其中：储备资本要求</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其中：逆周期资本要求</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60</w:t>
            </w:r>
          </w:p>
        </w:tc>
        <w:tc>
          <w:tcPr>
            <w:tcW w:w="6112" w:type="dxa"/>
            <w:tcBorders>
              <w:top w:val="nil"/>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    其中：全球系统重要性银行或国内系统重要性银行附加资本要求</w:t>
            </w:r>
          </w:p>
        </w:tc>
        <w:tc>
          <w:tcPr>
            <w:tcW w:w="2157" w:type="dxa"/>
            <w:tcBorders>
              <w:top w:val="nil"/>
              <w:left w:val="nil"/>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single" w:color="auto" w:sz="4" w:space="0"/>
              <w:left w:val="single" w:color="auto" w:sz="4"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61</w:t>
            </w:r>
          </w:p>
        </w:tc>
        <w:tc>
          <w:tcPr>
            <w:tcW w:w="6112" w:type="dxa"/>
            <w:tcBorders>
              <w:top w:val="single" w:color="auto" w:sz="4" w:space="0"/>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满足最低资本要求后的可用核心一级资本净额占风险加权资产的比例（%）</w:t>
            </w:r>
          </w:p>
        </w:tc>
        <w:tc>
          <w:tcPr>
            <w:tcW w:w="21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11.80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single" w:color="auto" w:sz="4" w:space="0"/>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62</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核心一级资本充足率（%）</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63</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一级资本充足率（%）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64</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资本充足率（%）</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65</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对未并表金融机构的小额少数资本投资中的未扣除部分</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65a</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对未并表金融机构的小额投资中的TLAC非资本债务工具未扣除部分（仅适用全球系统重要性银行）</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66</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对未并表金融机构的大额少数资本投资未扣除部分</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67</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其他依赖于银行未来盈利的净递延税资产（扣除递延税负债）</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8690"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可计入二级资本的超额损失准备的限额</w:t>
            </w:r>
            <w:r>
              <w:rPr>
                <w:rFonts w:hint="default" w:ascii="仿宋_GB2312" w:hAnsi="宋体" w:eastAsia="仿宋_GB2312" w:cs="仿宋_GB2312"/>
                <w:i w:val="0"/>
                <w:iCs w:val="0"/>
                <w:color w:val="00000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68</w:t>
            </w:r>
          </w:p>
        </w:tc>
        <w:tc>
          <w:tcPr>
            <w:tcW w:w="6112"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权重法下，实际计提的超额损失准备金额</w:t>
            </w:r>
          </w:p>
        </w:tc>
        <w:tc>
          <w:tcPr>
            <w:tcW w:w="2157"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128885.17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69</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权重法下，可计入二级资本超额损失准备的数额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22588.55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70</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内部评级法下，实际计提的超额损失准备金额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42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71</w:t>
            </w:r>
          </w:p>
        </w:tc>
        <w:tc>
          <w:tcPr>
            <w:tcW w:w="6112"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内部评级法下，可计入二级资本超额损失准备的数额</w:t>
            </w:r>
          </w:p>
        </w:tc>
        <w:tc>
          <w:tcPr>
            <w:tcW w:w="2157"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bl>
    <w:p>
      <w:pPr>
        <w:jc w:val="both"/>
        <w:rPr>
          <w:rFonts w:hint="eastAsia"/>
          <w:sz w:val="18"/>
          <w:szCs w:val="18"/>
        </w:rPr>
      </w:pPr>
    </w:p>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77A1F3E"/>
    <w:rsid w:val="09B53407"/>
    <w:rsid w:val="12A97760"/>
    <w:rsid w:val="1AED613D"/>
    <w:rsid w:val="257F10F3"/>
    <w:rsid w:val="2C9A3B3C"/>
    <w:rsid w:val="33E22B2C"/>
    <w:rsid w:val="3F3136A7"/>
    <w:rsid w:val="3FC823FE"/>
    <w:rsid w:val="4A314D53"/>
    <w:rsid w:val="4C9B7E0C"/>
    <w:rsid w:val="57A8449C"/>
    <w:rsid w:val="5B1B3D90"/>
    <w:rsid w:val="5C752E5F"/>
    <w:rsid w:val="6BC9262E"/>
    <w:rsid w:val="721B45F4"/>
    <w:rsid w:val="7455676B"/>
    <w:rsid w:val="7DC97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5"/>
    <w:qFormat/>
    <w:uiPriority w:val="0"/>
    <w:rPr>
      <w:rFonts w:hint="eastAsia" w:ascii="仿宋_GB2312" w:eastAsia="仿宋_GB2312" w:cs="仿宋_GB2312"/>
      <w:color w:val="000000"/>
      <w:sz w:val="28"/>
      <w:szCs w:val="28"/>
      <w:u w:val="none"/>
    </w:rPr>
  </w:style>
  <w:style w:type="character" w:customStyle="1" w:styleId="7">
    <w:name w:val="font21"/>
    <w:basedOn w:val="5"/>
    <w:qFormat/>
    <w:uiPriority w:val="0"/>
    <w:rPr>
      <w:rFonts w:hint="eastAsia" w:ascii="仿宋_GB2312" w:eastAsia="仿宋_GB2312" w:cs="仿宋_GB2312"/>
      <w:b/>
      <w:bCs/>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Administrator</cp:lastModifiedBy>
  <cp:lastPrinted>2024-08-05T11:00:00Z</cp:lastPrinted>
  <dcterms:modified xsi:type="dcterms:W3CDTF">2025-02-25T10:19:17Z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9E46FDD71C374B5EAD29318750CBC19E</vt:lpwstr>
  </property>
</Properties>
</file>