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ascii="Segoe UI" w:hAnsi="Segoe UI" w:eastAsia="Segoe UI" w:cs="Segoe UI"/>
          <w:b/>
          <w:bCs/>
          <w:i w:val="0"/>
          <w:iCs w:val="0"/>
          <w:caps w:val="0"/>
          <w:spacing w:val="0"/>
          <w:sz w:val="44"/>
          <w:szCs w:val="44"/>
          <w:u w:val="none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spacing w:val="0"/>
          <w:sz w:val="44"/>
          <w:szCs w:val="44"/>
          <w:u w:val="none"/>
          <w:shd w:val="clear" w:fill="FFFFFF"/>
          <w:lang w:eastAsia="zh-CN"/>
        </w:rPr>
        <w:t>江苏建湖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spacing w:val="0"/>
          <w:sz w:val="44"/>
          <w:szCs w:val="44"/>
          <w:u w:val="none"/>
          <w:shd w:val="clear" w:fill="FFFFFF"/>
        </w:rPr>
        <w:t>农村商业银行股份有限公司服务类关联交易信息披露报告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披露日期：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日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一、报告依据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根据《银行保险机构关联交易管理办法》（中国银保监会令2022年第1号）《商业银行信息披露办法》及本行《关联交易管理暂行办法》相关规定，现对本行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2025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eastAsia="zh-CN"/>
        </w:rPr>
        <w:t>7月发生的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服务类关联交易信息进行披露。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二、交易概述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1.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交易性质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本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次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服务类关联交易属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重大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关联交易。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firstLine="643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交易内容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：营业厅堂保安服务、监控中心值守、总行门卫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、巡查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值守等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保安服务。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3.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交易原则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：竞争性谈判，未优于非关联方同类交易条件。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三、交易对手情况</w:t>
      </w:r>
    </w:p>
    <w:tbl>
      <w:tblPr>
        <w:tblStyle w:val="8"/>
        <w:tblW w:w="8386" w:type="dxa"/>
        <w:tblInd w:w="1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5"/>
        <w:gridCol w:w="2056"/>
        <w:gridCol w:w="4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6" w:hRule="atLeast"/>
          <w:tblHeader/>
        </w:trPr>
        <w:tc>
          <w:tcPr>
            <w:tcW w:w="2055" w:type="dxa"/>
            <w:tcBorders>
              <w:tl2br w:val="nil"/>
              <w:tr2bl w:val="nil"/>
            </w:tcBorders>
            <w:shd w:val="clear" w:color="auto" w:fill="auto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u w:val="none"/>
                <w:lang w:val="en-US" w:eastAsia="zh-CN" w:bidi="ar"/>
              </w:rPr>
              <w:t>关联方名称</w:t>
            </w:r>
          </w:p>
        </w:tc>
        <w:tc>
          <w:tcPr>
            <w:tcW w:w="2056" w:type="dxa"/>
            <w:tcBorders>
              <w:tl2br w:val="nil"/>
              <w:tr2bl w:val="nil"/>
            </w:tcBorders>
            <w:shd w:val="clear" w:color="auto" w:fill="auto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u w:val="none"/>
                <w:lang w:val="en-US" w:eastAsia="zh-CN" w:bidi="ar"/>
              </w:rPr>
              <w:t>关联关系类型</w:t>
            </w:r>
          </w:p>
        </w:tc>
        <w:tc>
          <w:tcPr>
            <w:tcW w:w="4275" w:type="dxa"/>
            <w:tcBorders>
              <w:tl2br w:val="nil"/>
              <w:tr2bl w:val="nil"/>
            </w:tcBorders>
            <w:shd w:val="clear" w:color="auto" w:fill="auto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  <w:u w:val="none"/>
                <w:lang w:val="en-US" w:eastAsia="zh-CN" w:bidi="ar"/>
              </w:rPr>
              <w:t>关联关系说明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055" w:type="dxa"/>
            <w:tcBorders>
              <w:tl2br w:val="nil"/>
              <w:tr2bl w:val="nil"/>
            </w:tcBorders>
            <w:shd w:val="clear" w:color="auto" w:fill="FFFFFF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"/>
              </w:rPr>
              <w:t>建湖县维宁保安服务有限公司</w:t>
            </w:r>
          </w:p>
        </w:tc>
        <w:tc>
          <w:tcPr>
            <w:tcW w:w="2056" w:type="dxa"/>
            <w:tcBorders>
              <w:tl2br w:val="nil"/>
              <w:tr2bl w:val="nil"/>
            </w:tcBorders>
            <w:shd w:val="clear" w:color="auto" w:fill="FFFFFF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"/>
              </w:rPr>
              <w:t>原董事任职公司控制的法人</w:t>
            </w:r>
          </w:p>
        </w:tc>
        <w:tc>
          <w:tcPr>
            <w:tcW w:w="4275" w:type="dxa"/>
            <w:tcBorders>
              <w:tl2br w:val="nil"/>
              <w:tr2bl w:val="nil"/>
            </w:tcBorders>
            <w:shd w:val="clear" w:color="auto" w:fill="FFFFFF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 w:bidi="ar"/>
              </w:rPr>
              <w:t>本行原董事周兵任江苏双湖投资控股集团有限公司法定代表人，维宁保安为双湖集团下属公司。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四、定价政策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定价政策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: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上述关联交易事项为本行日常管理需要，关联交易遵循自愿、平等、公平、公允的原则，交易定价依据市场价格进行，以不优于非关联方同类交易的条件进行公平交易，不存在损害本行及本行股东利益的情形。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定价依据：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采用竞争性谈判确定价格。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3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合规性说明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定价程序符合本行《关联交易管理暂行办法》，并经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董事会审议通过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五、交易金额及比例</w:t>
      </w:r>
    </w:p>
    <w:tbl>
      <w:tblPr>
        <w:tblStyle w:val="8"/>
        <w:tblW w:w="7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97"/>
        <w:gridCol w:w="3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Header/>
          <w:jc w:val="center"/>
        </w:trPr>
        <w:tc>
          <w:tcPr>
            <w:tcW w:w="3997" w:type="dxa"/>
            <w:shd w:val="clear" w:color="auto" w:fill="auto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u w:val="none"/>
                <w:lang w:val="en-US" w:eastAsia="zh-CN" w:bidi="ar"/>
              </w:rPr>
              <w:t>交易类型</w:t>
            </w:r>
          </w:p>
        </w:tc>
        <w:tc>
          <w:tcPr>
            <w:tcW w:w="3785" w:type="dxa"/>
            <w:shd w:val="clear" w:color="auto" w:fill="auto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Style w:val="10"/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u w:val="none"/>
                <w:lang w:val="en-US" w:eastAsia="zh-CN" w:bidi="ar"/>
              </w:rPr>
              <w:t>交易金额（万元）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997" w:type="dxa"/>
            <w:shd w:val="clear" w:color="auto" w:fill="FFFFFF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"/>
              </w:rPr>
              <w:t>保安服务</w:t>
            </w:r>
          </w:p>
        </w:tc>
        <w:tc>
          <w:tcPr>
            <w:tcW w:w="3785" w:type="dxa"/>
            <w:shd w:val="clear" w:color="auto" w:fill="FFFFFF"/>
            <w:tcMar>
              <w:top w:w="135" w:type="dxa"/>
              <w:left w:w="270" w:type="dxa"/>
              <w:bottom w:w="135" w:type="dxa"/>
              <w:right w:w="2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 w:bidi="ar"/>
              </w:rPr>
              <w:t>294.648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六、内部审批与合规审查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" w:leftChars="0"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1.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审议机构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2025年1月18日，经本行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风险合规管理与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关联交易控制委员会审查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、第五届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董事会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第六次会议审议，上述事项获得通过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" w:leftChars="0" w:firstLine="643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独立董事意见：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本行独立董事就上述事项发表了书面意见，认为上述关联交易遵循商业原则，没有损害公司和股东的利益，符合关联交易管理要求的公允性原则，不影响本行独立性，不会对全行的持续经营能力、盈利能力及资产状况构成影响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6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七、后续管理措施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建立服务类关联交易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管理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台账，定期监测履约情况；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6" w:leftChars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按季向监管部门报送交易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相关报表或报告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t>八、其他说明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本次交易内容已同步向监管部门报告。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360" w:leftChars="0"/>
        <w:jc w:val="righ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江苏建湖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农村商业银行股份有限公司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br w:type="textWrapping"/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2025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518" w:lef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trackedChange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ZDQyOTY5MGRhNjU2Y2FlNDJiY2MwYTc2OTFhM2MifQ=="/>
  </w:docVars>
  <w:rsids>
    <w:rsidRoot w:val="00000000"/>
    <w:rsid w:val="05B37FBC"/>
    <w:rsid w:val="07E26399"/>
    <w:rsid w:val="0CF928A0"/>
    <w:rsid w:val="0EBA4E8E"/>
    <w:rsid w:val="107D0E66"/>
    <w:rsid w:val="1D9271E1"/>
    <w:rsid w:val="213828A0"/>
    <w:rsid w:val="293F1E00"/>
    <w:rsid w:val="29710F8A"/>
    <w:rsid w:val="2A3A248C"/>
    <w:rsid w:val="303B4599"/>
    <w:rsid w:val="30EF459E"/>
    <w:rsid w:val="370138CA"/>
    <w:rsid w:val="37D777AA"/>
    <w:rsid w:val="40516596"/>
    <w:rsid w:val="40FA476F"/>
    <w:rsid w:val="4100345E"/>
    <w:rsid w:val="42FE4D75"/>
    <w:rsid w:val="45EF524D"/>
    <w:rsid w:val="4AFE790C"/>
    <w:rsid w:val="4ED37CB9"/>
    <w:rsid w:val="54836E1E"/>
    <w:rsid w:val="56CD4D47"/>
    <w:rsid w:val="62CB6297"/>
    <w:rsid w:val="748E25CA"/>
    <w:rsid w:val="794231C3"/>
    <w:rsid w:val="7C744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783</Words>
  <Characters>815</Characters>
  <Lines>0</Lines>
  <Paragraphs>0</Paragraphs>
  <TotalTime>0</TotalTime>
  <ScaleCrop>false</ScaleCrop>
  <LinksUpToDate>false</LinksUpToDate>
  <CharactersWithSpaces>815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2025-08-04T01:09:00Z</dcterms:created>
  <dc:creator>Administrator</dc:creator>
  <cp:lastModifiedBy>谷欣橙</cp:lastModifiedBy>
  <dcterms:modified xsi:type="dcterms:W3CDTF">2025-09-01T03:44:53Z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TemplateDocerSaveRecord">
    <vt:lpwstr>eyJoZGlkIjoiMjQ1MzdhZjk5Nzc3Zjg4M2ZhODNmM2M2NDM1OTA5ZTIiLCJ1c2VySWQiOiIyMTAzODc3NjkifQ==</vt:lpwstr>
  </property>
  <property fmtid="{D5CDD505-2E9C-101B-9397-08002B2CF9AE}" pid="4" name="ICV">
    <vt:lpwstr>9EA12D9AB4C54029AC91F8592691EBA8_12</vt:lpwstr>
  </property>
</Properties>
</file>