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00" w:lineRule="exact"/>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江苏建湖农村商业银行股份有限公司</w:t>
      </w:r>
    </w:p>
    <w:p>
      <w:pPr>
        <w:spacing w:line="700" w:lineRule="exact"/>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202</w:t>
      </w:r>
      <w:r>
        <w:rPr>
          <w:rFonts w:hint="eastAsia" w:ascii="宋体" w:hAnsi="宋体" w:cs="宋体"/>
          <w:b/>
          <w:bCs/>
          <w:sz w:val="44"/>
          <w:szCs w:val="44"/>
          <w:lang w:val="en-US" w:eastAsia="zh-CN"/>
        </w:rPr>
        <w:t>5</w:t>
      </w:r>
      <w:r>
        <w:rPr>
          <w:rFonts w:hint="eastAsia" w:ascii="宋体" w:hAnsi="宋体" w:eastAsia="宋体" w:cs="宋体"/>
          <w:b/>
          <w:bCs/>
          <w:sz w:val="44"/>
          <w:szCs w:val="44"/>
          <w:lang w:val="en-US" w:eastAsia="zh-CN"/>
        </w:rPr>
        <w:t>年</w:t>
      </w:r>
      <w:r>
        <w:rPr>
          <w:rFonts w:hint="eastAsia" w:ascii="宋体" w:hAnsi="宋体" w:cs="宋体"/>
          <w:b/>
          <w:bCs/>
          <w:sz w:val="44"/>
          <w:szCs w:val="44"/>
          <w:lang w:val="en-US" w:eastAsia="zh-CN"/>
        </w:rPr>
        <w:t>二季度</w:t>
      </w:r>
      <w:r>
        <w:rPr>
          <w:rFonts w:hint="eastAsia" w:ascii="宋体" w:hAnsi="宋体" w:eastAsia="宋体" w:cs="宋体"/>
          <w:b/>
          <w:bCs/>
          <w:sz w:val="44"/>
          <w:szCs w:val="44"/>
          <w:lang w:val="en-US" w:eastAsia="zh-CN"/>
        </w:rPr>
        <w:t>第三支柱信息披露报告</w:t>
      </w:r>
    </w:p>
    <w:p>
      <w:pPr>
        <w:jc w:val="both"/>
        <w:rPr>
          <w:rFonts w:hint="eastAsia"/>
          <w:sz w:val="18"/>
          <w:szCs w:val="18"/>
          <w:lang w:val="en-US" w:eastAsia="zh-CN"/>
        </w:rPr>
      </w:pPr>
    </w:p>
    <w:p>
      <w:pPr>
        <w:jc w:val="both"/>
        <w:rPr>
          <w:rFonts w:hint="eastAsia"/>
          <w:sz w:val="18"/>
          <w:szCs w:val="18"/>
          <w:lang w:val="en-US" w:eastAsia="zh-CN"/>
        </w:rPr>
      </w:pPr>
      <w:r>
        <w:rPr>
          <w:rFonts w:hint="eastAsia"/>
          <w:sz w:val="18"/>
          <w:szCs w:val="18"/>
          <w:lang w:val="en-US" w:eastAsia="zh-CN"/>
        </w:rPr>
        <w:t>表格KM1：监管并表关键审慎监管指标</w:t>
      </w:r>
    </w:p>
    <w:tbl>
      <w:tblPr>
        <w:tblStyle w:val="4"/>
        <w:tblW w:w="8678"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92"/>
        <w:gridCol w:w="3560"/>
        <w:gridCol w:w="1979"/>
        <w:gridCol w:w="204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19" w:hRule="atLeast"/>
          <w:jc w:val="center"/>
        </w:trPr>
        <w:tc>
          <w:tcPr>
            <w:tcW w:w="1092"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3560"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nil"/>
              <w:left w:val="nil"/>
              <w:bottom w:val="nil"/>
              <w:right w:val="nil"/>
            </w:tcBorders>
            <w:shd w:val="clear" w:color="auto" w:fill="auto"/>
            <w:noWrap/>
            <w:vAlign w:val="center"/>
          </w:tcPr>
          <w:p>
            <w:pPr>
              <w:rPr>
                <w:rFonts w:hint="eastAsia" w:ascii="宋体" w:hAnsi="宋体" w:eastAsia="宋体" w:cs="宋体"/>
                <w:i w:val="0"/>
                <w:iCs w:val="0"/>
                <w:color w:val="000000"/>
                <w:sz w:val="22"/>
                <w:szCs w:val="22"/>
                <w:u w:val="none"/>
              </w:rPr>
            </w:pPr>
          </w:p>
        </w:tc>
        <w:tc>
          <w:tcPr>
            <w:tcW w:w="2047" w:type="dxa"/>
            <w:tcBorders>
              <w:top w:val="nil"/>
              <w:left w:val="nil"/>
              <w:bottom w:val="nil"/>
              <w:right w:val="nil"/>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16"/>
                <w:szCs w:val="16"/>
                <w:u w:val="none"/>
                <w:lang w:val="en-US" w:eastAsia="zh-CN" w:bidi="ar"/>
              </w:rPr>
              <w:t>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single" w:color="000000" w:sz="8" w:space="0"/>
              <w:left w:val="single" w:color="000000" w:sz="8" w:space="0"/>
              <w:bottom w:val="single" w:color="000000" w:sz="8" w:space="0"/>
              <w:right w:val="single" w:color="000000" w:sz="8" w:space="0"/>
            </w:tcBorders>
            <w:shd w:val="clear" w:color="auto" w:fill="auto"/>
            <w:noWrap/>
            <w:vAlign w:val="center"/>
          </w:tcPr>
          <w:p>
            <w:pPr>
              <w:rPr>
                <w:rFonts w:hint="eastAsia" w:ascii="宋体" w:hAnsi="宋体" w:eastAsia="宋体" w:cs="宋体"/>
                <w:i w:val="0"/>
                <w:iCs w:val="0"/>
                <w:color w:val="000000"/>
                <w:sz w:val="22"/>
                <w:szCs w:val="22"/>
                <w:u w:val="none"/>
              </w:rPr>
            </w:pP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a</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b</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4652" w:type="dxa"/>
            <w:gridSpan w:val="2"/>
            <w:tcBorders>
              <w:top w:val="nil"/>
              <w:left w:val="single" w:color="000000" w:sz="8" w:space="0"/>
              <w:bottom w:val="single" w:color="000000" w:sz="8" w:space="0"/>
              <w:right w:val="single" w:color="000000" w:sz="8" w:space="0"/>
            </w:tcBorders>
            <w:shd w:val="clear" w:color="auto" w:fill="auto"/>
            <w:vAlign w:val="center"/>
          </w:tcPr>
          <w:p>
            <w:pPr>
              <w:rPr>
                <w:rFonts w:hint="default" w:ascii="仿宋_GB2312" w:hAnsi="宋体" w:eastAsia="仿宋_GB2312" w:cs="仿宋_GB2312"/>
                <w:i w:val="0"/>
                <w:iCs w:val="0"/>
                <w:color w:val="000000"/>
                <w:sz w:val="18"/>
                <w:szCs w:val="18"/>
                <w:u w:val="none"/>
              </w:rPr>
            </w:pP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2025年6月30日</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2025年3月31日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可用资本（数额）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251628.32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242490.65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251628.32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242490.65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3</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资本净额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275318.71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265879.15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风险加权资产（数额）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4</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风险加权资产合计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2040780.96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2064842.35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资本充足率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核心一级资本充足率（%）</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12.33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一级资本充足率（%）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12.33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11.74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资本充足率（%）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13.49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12.88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储备资本要求（%）</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逆周期资本要求（%）</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2"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全球系统重要性银行或国内系统重要性银行附加资本要求（%）</w:t>
            </w:r>
          </w:p>
        </w:tc>
        <w:tc>
          <w:tcPr>
            <w:tcW w:w="1979"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c>
          <w:tcPr>
            <w:tcW w:w="2047" w:type="dxa"/>
            <w:tcBorders>
              <w:top w:val="nil"/>
              <w:left w:val="nil"/>
              <w:bottom w:val="single" w:color="000000" w:sz="8" w:space="0"/>
              <w:right w:val="single" w:color="000000" w:sz="8" w:space="0"/>
            </w:tcBorders>
            <w:shd w:val="clear" w:color="auto" w:fill="auto"/>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2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11</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其他各级资本要求（%）（8+9+10）</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8"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12</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满足最低资本要求后的可用核心一级资本净额占风险加权资产的比例（%）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12.27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11.68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杠杆率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13</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调整后表内外资产余额</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3743839.88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3797615.85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6.72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14a</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杠杆率a（%）</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6.72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6.39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流动性覆盖率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15</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合格优质流动性资产</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704123.70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594194.79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16</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现金净流出量</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181097.56 </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248294.43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17</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流动性覆盖率（%）</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净稳定资金比例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18</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可用稳定资金合计</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19</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所需稳定资金合计</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20</w:t>
            </w:r>
          </w:p>
        </w:tc>
        <w:tc>
          <w:tcPr>
            <w:tcW w:w="3560"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净稳定资金比例（%）</w:t>
            </w:r>
          </w:p>
        </w:tc>
        <w:tc>
          <w:tcPr>
            <w:tcW w:w="1979"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c>
          <w:tcPr>
            <w:tcW w:w="2047" w:type="dxa"/>
            <w:tcBorders>
              <w:top w:val="nil"/>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33" w:hRule="atLeast"/>
          <w:jc w:val="center"/>
        </w:trPr>
        <w:tc>
          <w:tcPr>
            <w:tcW w:w="8678" w:type="dxa"/>
            <w:gridSpan w:val="4"/>
            <w:tcBorders>
              <w:top w:val="nil"/>
              <w:left w:val="single" w:color="000000" w:sz="8" w:space="0"/>
              <w:bottom w:val="single" w:color="000000" w:sz="8" w:space="0"/>
              <w:right w:val="single" w:color="000000" w:sz="8" w:space="0"/>
            </w:tcBorders>
            <w:shd w:val="clear" w:color="auto" w:fill="D9D9D9"/>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lang w:val="en-US" w:eastAsia="zh-CN" w:bidi="ar"/>
              </w:rPr>
              <w:t>流动性比例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47" w:hRule="atLeast"/>
          <w:jc w:val="center"/>
        </w:trPr>
        <w:tc>
          <w:tcPr>
            <w:tcW w:w="1092" w:type="dxa"/>
            <w:tcBorders>
              <w:top w:val="nil"/>
              <w:left w:val="single" w:color="000000" w:sz="8" w:space="0"/>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21</w:t>
            </w:r>
          </w:p>
        </w:tc>
        <w:tc>
          <w:tcPr>
            <w:tcW w:w="3560"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流动性比例（%）</w:t>
            </w:r>
          </w:p>
        </w:tc>
        <w:tc>
          <w:tcPr>
            <w:tcW w:w="1979"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141.79 </w:t>
            </w:r>
          </w:p>
        </w:tc>
        <w:tc>
          <w:tcPr>
            <w:tcW w:w="2047" w:type="dxa"/>
            <w:tcBorders>
              <w:top w:val="single" w:color="000000" w:sz="8" w:space="0"/>
              <w:left w:val="nil"/>
              <w:bottom w:val="single" w:color="000000" w:sz="8" w:space="0"/>
              <w:right w:val="single" w:color="000000" w:sz="8" w:space="0"/>
            </w:tcBorders>
            <w:shd w:val="clear" w:color="auto" w:fill="auto"/>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lang w:val="en-US" w:eastAsia="zh-CN" w:bidi="ar"/>
              </w:rPr>
              <w:t xml:space="preserve">107.28 </w:t>
            </w:r>
          </w:p>
        </w:tc>
      </w:tr>
    </w:tbl>
    <w:p>
      <w:pPr>
        <w:rPr>
          <w:rFonts w:hint="eastAsia"/>
          <w:sz w:val="18"/>
          <w:szCs w:val="18"/>
        </w:rPr>
      </w:pPr>
    </w:p>
    <w:p>
      <w:pPr>
        <w:rPr>
          <w:rFonts w:hint="eastAsia"/>
          <w:sz w:val="18"/>
          <w:szCs w:val="18"/>
        </w:rPr>
      </w:pPr>
      <w:r>
        <w:rPr>
          <w:rFonts w:hint="eastAsia"/>
          <w:sz w:val="18"/>
          <w:szCs w:val="18"/>
        </w:rPr>
        <w:t>表格CC1：资本构成</w:t>
      </w:r>
    </w:p>
    <w:tbl>
      <w:tblPr>
        <w:tblW w:w="87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108" w:type="dxa"/>
          <w:bottom w:w="0" w:type="dxa"/>
          <w:right w:w="108" w:type="dxa"/>
        </w:tblCellMar>
      </w:tblPr>
      <w:tblGrid>
        <w:gridCol w:w="491"/>
        <w:gridCol w:w="6130"/>
        <w:gridCol w:w="209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05" w:hRule="atLeast"/>
          <w:jc w:val="center"/>
        </w:trPr>
        <w:tc>
          <w:tcPr>
            <w:tcW w:w="491" w:type="dxa"/>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6130" w:type="dxa"/>
            <w:tcBorders>
              <w:top w:val="nil"/>
              <w:left w:val="nil"/>
              <w:bottom w:val="nil"/>
              <w:right w:val="nil"/>
            </w:tcBorders>
            <w:shd w:val="clear"/>
            <w:noWrap/>
            <w:vAlign w:val="center"/>
          </w:tcPr>
          <w:p>
            <w:pPr>
              <w:rPr>
                <w:rFonts w:hint="eastAsia" w:ascii="宋体" w:hAnsi="宋体" w:eastAsia="宋体" w:cs="宋体"/>
                <w:i w:val="0"/>
                <w:iCs w:val="0"/>
                <w:color w:val="000000"/>
                <w:sz w:val="22"/>
                <w:szCs w:val="22"/>
                <w:u w:val="none"/>
              </w:rPr>
            </w:pPr>
          </w:p>
        </w:tc>
        <w:tc>
          <w:tcPr>
            <w:tcW w:w="2098" w:type="dxa"/>
            <w:tcBorders>
              <w:top w:val="nil"/>
              <w:left w:val="nil"/>
              <w:bottom w:val="nil"/>
              <w:right w:val="nil"/>
            </w:tcBorders>
            <w:shd w:val="clear"/>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16"/>
                <w:szCs w:val="16"/>
                <w:u w:val="none"/>
              </w:rPr>
            </w:pPr>
            <w:r>
              <w:rPr>
                <w:rFonts w:hint="eastAsia" w:ascii="宋体" w:hAnsi="宋体" w:eastAsia="宋体" w:cs="宋体"/>
                <w:i w:val="0"/>
                <w:iCs w:val="0"/>
                <w:color w:val="000000"/>
                <w:kern w:val="0"/>
                <w:sz w:val="16"/>
                <w:szCs w:val="16"/>
                <w:u w:val="none"/>
                <w:bdr w:val="none" w:color="auto" w:sz="0" w:space="0"/>
                <w:lang w:val="en-US" w:eastAsia="zh-CN" w:bidi="ar"/>
              </w:rPr>
              <w:t>单位：人民币万元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6621" w:type="dxa"/>
            <w:gridSpan w:val="2"/>
            <w:tcBorders>
              <w:top w:val="single" w:color="000000" w:sz="8" w:space="0"/>
              <w:left w:val="single" w:color="000000" w:sz="8" w:space="0"/>
              <w:bottom w:val="single" w:color="000000" w:sz="8" w:space="0"/>
              <w:right w:val="single" w:color="000000" w:sz="8" w:space="0"/>
            </w:tcBorders>
            <w:shd w:val="clear"/>
            <w:noWrap/>
            <w:vAlign w:val="center"/>
          </w:tcPr>
          <w:p>
            <w:pPr>
              <w:rPr>
                <w:rFonts w:hint="eastAsia" w:ascii="宋体" w:hAnsi="宋体" w:eastAsia="宋体" w:cs="宋体"/>
                <w:i w:val="0"/>
                <w:iCs w:val="0"/>
                <w:color w:val="000000"/>
                <w:sz w:val="22"/>
                <w:szCs w:val="22"/>
                <w:u w:val="none"/>
              </w:rPr>
            </w:pP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2025年6月30日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6621" w:type="dxa"/>
            <w:gridSpan w:val="2"/>
            <w:tcBorders>
              <w:top w:val="nil"/>
              <w:left w:val="single" w:color="000000" w:sz="8" w:space="0"/>
              <w:bottom w:val="single" w:color="000000" w:sz="8" w:space="0"/>
              <w:right w:val="single" w:color="000000" w:sz="8" w:space="0"/>
            </w:tcBorders>
            <w:shd w:val="clear"/>
            <w:vAlign w:val="center"/>
          </w:tcPr>
          <w:p>
            <w:pPr>
              <w:rPr>
                <w:rFonts w:hint="default" w:ascii="仿宋_GB2312" w:hAnsi="宋体" w:eastAsia="仿宋_GB2312" w:cs="仿宋_GB2312"/>
                <w:i w:val="0"/>
                <w:iCs w:val="0"/>
                <w:color w:val="000000"/>
                <w:sz w:val="18"/>
                <w:szCs w:val="18"/>
                <w:u w:val="none"/>
              </w:rPr>
            </w:pP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数额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实收资本和资本公积可计入部分</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146772.57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留存收益</w:t>
            </w:r>
          </w:p>
        </w:tc>
        <w:tc>
          <w:tcPr>
            <w:tcW w:w="2098" w:type="dxa"/>
            <w:tcBorders>
              <w:top w:val="nil"/>
              <w:left w:val="nil"/>
              <w:bottom w:val="single" w:color="000000" w:sz="8" w:space="0"/>
              <w:right w:val="single" w:color="000000" w:sz="8" w:space="0"/>
            </w:tcBorders>
            <w:shd w:val="clear"/>
            <w:vAlign w:val="center"/>
          </w:tcPr>
          <w:p>
            <w:pPr>
              <w:jc w:val="center"/>
              <w:rPr>
                <w:rFonts w:hint="default" w:ascii="仿宋_GB2312" w:hAnsi="宋体" w:eastAsia="仿宋_GB2312" w:cs="仿宋_GB2312"/>
                <w:i w:val="0"/>
                <w:iCs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2a</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盈余公积</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26910.29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2b</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一般风险准备</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lang w:val="en-US"/>
              </w:rPr>
            </w:pPr>
            <w:r>
              <w:rPr>
                <w:rFonts w:hint="eastAsia" w:ascii="仿宋_GB2312" w:hAnsi="宋体" w:eastAsia="仿宋_GB2312" w:cs="仿宋_GB2312"/>
                <w:i w:val="0"/>
                <w:iCs w:val="0"/>
                <w:color w:val="000000"/>
                <w:kern w:val="0"/>
                <w:sz w:val="18"/>
                <w:szCs w:val="18"/>
                <w:u w:val="none"/>
                <w:bdr w:val="none" w:color="auto" w:sz="0" w:space="0"/>
                <w:lang w:val="en-US" w:eastAsia="zh-CN" w:bidi="ar"/>
              </w:rPr>
              <w:t>58801.01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2c</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未分配利润</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23631.93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累计其他综合收益</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-354.95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少数股东资本可计入部分</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扣除前的核心一级资本</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255760.85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审慎估值调整</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7</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left"/>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商誉（扣除递延税负债）</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8</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其他无形资产（土地使用权除外）（扣除递延税负债）</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658.64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9</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依赖未来盈利的由经营亏损引起的净递延税资产</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28984.11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10</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对未按公允价值计量的项目进行套期形成的现金流储备</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11</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损失准备缺口</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12</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资产证券化销售利得</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13</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自身信用风险变化导致其负债公允价值变化带来的未实现损益</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14</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确定受益类的养老金资产净额（扣除递延税项负债）</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15</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直接或间接持有本银行的股票</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16</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银行间或银行与其他金融机构间通过协议相互持有的核心一级资本</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19"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17</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对未并表金融机构小额少数资本投资中的核心一级资本中应扣除金额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89"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18</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对未并表金融机构大额少数资本投资中的核心一级资本中应扣除金额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19</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其他依赖于银行未来盈利的净递延税资产中应扣除金额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3473.89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771"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20</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对未并表金融机构大额少数资本投资中的核心一级资本和其他依赖于银行未来盈利的净递延税资产的未扣除部分超过核心一级资本15%的应扣除金额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21</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8"/>
                <w:rFonts w:hAnsi="宋体"/>
                <w:bdr w:val="none" w:color="auto" w:sz="0" w:space="0"/>
                <w:lang w:val="en-US" w:eastAsia="zh-CN" w:bidi="ar"/>
              </w:rPr>
              <w:t xml:space="preserve">    其中：应在对金融机构大额少数资本投资中扣除的金额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82"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22</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8"/>
                <w:rFonts w:hAnsi="宋体"/>
                <w:bdr w:val="none" w:color="auto" w:sz="0" w:space="0"/>
                <w:lang w:val="en-US" w:eastAsia="zh-CN" w:bidi="ar"/>
              </w:rPr>
              <w:t xml:space="preserve">    其中：应在其他依赖于银行未来盈利的净递延税资产中扣除的金额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23</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其他应在核心一级资本中扣除的项目合计</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24</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应从其他一级资本和二级资本中扣除的未扣缺口</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0.00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c>
          <w:tcPr>
            <w:tcW w:w="6130" w:type="dxa"/>
            <w:tcBorders>
              <w:top w:val="nil"/>
              <w:left w:val="nil"/>
              <w:bottom w:val="single" w:color="auto" w:sz="4"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核心一级资本扣除项总和</w:t>
            </w:r>
          </w:p>
        </w:tc>
        <w:tc>
          <w:tcPr>
            <w:tcW w:w="2098" w:type="dxa"/>
            <w:tcBorders>
              <w:top w:val="nil"/>
              <w:left w:val="nil"/>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4132.53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26</w:t>
            </w:r>
          </w:p>
        </w:tc>
        <w:tc>
          <w:tcPr>
            <w:tcW w:w="613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核心一级资本净额</w:t>
            </w:r>
          </w:p>
        </w:tc>
        <w:tc>
          <w:tcPr>
            <w:tcW w:w="20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251628.32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15" w:hRule="atLeast"/>
          <w:jc w:val="center"/>
        </w:trPr>
        <w:tc>
          <w:tcPr>
            <w:tcW w:w="8719" w:type="dxa"/>
            <w:gridSpan w:val="3"/>
            <w:tcBorders>
              <w:top w:val="single" w:color="auto" w:sz="4" w:space="0"/>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27</w:t>
            </w:r>
          </w:p>
        </w:tc>
        <w:tc>
          <w:tcPr>
            <w:tcW w:w="6130" w:type="dxa"/>
            <w:tcBorders>
              <w:top w:val="single" w:color="000000" w:sz="8" w:space="0"/>
              <w:left w:val="nil"/>
              <w:bottom w:val="single" w:color="auto" w:sz="4"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其他一级资本工具及其溢价</w:t>
            </w:r>
          </w:p>
        </w:tc>
        <w:tc>
          <w:tcPr>
            <w:tcW w:w="2098" w:type="dxa"/>
            <w:tcBorders>
              <w:top w:val="single" w:color="000000" w:sz="8" w:space="0"/>
              <w:left w:val="nil"/>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bookmarkStart w:id="0" w:name="_GoBack" w:colFirst="0" w:colLast="2"/>
            <w:r>
              <w:rPr>
                <w:rFonts w:hint="default" w:ascii="仿宋_GB2312" w:hAnsi="宋体" w:eastAsia="仿宋_GB2312" w:cs="仿宋_GB2312"/>
                <w:i w:val="0"/>
                <w:iCs w:val="0"/>
                <w:color w:val="000000"/>
                <w:kern w:val="0"/>
                <w:sz w:val="18"/>
                <w:szCs w:val="18"/>
                <w:u w:val="none"/>
                <w:bdr w:val="none" w:color="auto" w:sz="0" w:space="0"/>
                <w:lang w:val="en-US" w:eastAsia="zh-CN" w:bidi="ar"/>
              </w:rPr>
              <w:t>28</w:t>
            </w:r>
          </w:p>
        </w:tc>
        <w:tc>
          <w:tcPr>
            <w:tcW w:w="613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8"/>
                <w:rFonts w:hAnsi="宋体"/>
                <w:bdr w:val="none" w:color="auto" w:sz="0" w:space="0"/>
                <w:lang w:val="en-US" w:eastAsia="zh-CN" w:bidi="ar"/>
              </w:rPr>
              <w:t xml:space="preserve">    其中：权益部分</w:t>
            </w:r>
          </w:p>
        </w:tc>
        <w:tc>
          <w:tcPr>
            <w:tcW w:w="20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bookmarkEnd w:id="0"/>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29</w:t>
            </w:r>
          </w:p>
        </w:tc>
        <w:tc>
          <w:tcPr>
            <w:tcW w:w="6130" w:type="dxa"/>
            <w:tcBorders>
              <w:top w:val="single" w:color="auto" w:sz="4"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8"/>
                <w:rFonts w:hAnsi="宋体"/>
                <w:bdr w:val="none" w:color="auto" w:sz="0" w:space="0"/>
                <w:lang w:val="en-US" w:eastAsia="zh-CN" w:bidi="ar"/>
              </w:rPr>
              <w:t xml:space="preserve">    其中：负债部分</w:t>
            </w:r>
          </w:p>
        </w:tc>
        <w:tc>
          <w:tcPr>
            <w:tcW w:w="2098" w:type="dxa"/>
            <w:tcBorders>
              <w:top w:val="single" w:color="auto" w:sz="4"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30</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少数股东资本可计入部分</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31</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扣除前的其他一级资本</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32</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直接或间接持有的本银行其他一级资本</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90"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33</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银行间或银行与其他金融机构间通过协议相互持有的其他一级资本</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94"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34</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对未并表金融机构小额少数资本投资中的其他一级资本中应扣除金额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35</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对未并表金融机构大额少数资本投资中的其他一级资本</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36</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其他应在其他一级资本中扣除的项目合计</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37</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应从二级资本中扣除的未扣缺口</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38</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其他一级资本扣除项总和</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39</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其他一级资本净额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40</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一级资本净额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251628.32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41</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二级资本工具及其溢价</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42</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少数股东资本可计入部分</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43</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超额损失准备可计入部分</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23690.39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44</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扣除前的二级资本</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23690.39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二级资本：扣除项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45</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直接或间接持有的本银行的二级资本</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46</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银行间或银行与其他金融机构间通过协议相互持有的二级资本投资及TLAC非资本债务工具投资</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47</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对未并表金融机构小额少数资本投资中的二级资本应扣除金额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47a</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对未并表金融机构的小额投资中的TLAC非资本债务工具中应扣除金额（仅适用全球系统重要性银行）</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48</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对未并表金融机构大额少数资本投资中的二级资本应扣除金额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48a</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对未并表金融机构大额投资中的TLAC非资本债务工具中应扣除金额（仅适用全球系统重要性银行）</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49</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其他应在二级资本中扣除的项目合计</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50</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二级资本扣除项总和</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51</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二级资本净额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23690.39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52</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总资本净额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lang w:val="en-US"/>
              </w:rPr>
            </w:pPr>
            <w:r>
              <w:rPr>
                <w:rFonts w:hint="eastAsia" w:ascii="仿宋_GB2312" w:hAnsi="宋体" w:eastAsia="仿宋_GB2312" w:cs="仿宋_GB2312"/>
                <w:i w:val="0"/>
                <w:iCs w:val="0"/>
                <w:color w:val="000000"/>
                <w:kern w:val="0"/>
                <w:sz w:val="18"/>
                <w:szCs w:val="18"/>
                <w:u w:val="none"/>
                <w:bdr w:val="none" w:color="auto" w:sz="0" w:space="0"/>
                <w:lang w:val="en-US" w:eastAsia="zh-CN" w:bidi="ar"/>
              </w:rPr>
              <w:t>275318.71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53</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风险加权资产</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2040780.96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资本充足率和其他各级资本要求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54</w:t>
            </w:r>
          </w:p>
        </w:tc>
        <w:tc>
          <w:tcPr>
            <w:tcW w:w="613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核心一级资本充足率（%）</w:t>
            </w:r>
          </w:p>
        </w:tc>
        <w:tc>
          <w:tcPr>
            <w:tcW w:w="2098" w:type="dxa"/>
            <w:tcBorders>
              <w:top w:val="single" w:color="000000" w:sz="8" w:space="0"/>
              <w:left w:val="single" w:color="auto" w:sz="4"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55</w:t>
            </w:r>
          </w:p>
        </w:tc>
        <w:tc>
          <w:tcPr>
            <w:tcW w:w="6130" w:type="dxa"/>
            <w:tcBorders>
              <w:top w:val="single" w:color="auto" w:sz="4"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一级资本充足率（%）</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12.33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56</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资本充足率（%）</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13.49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57</w:t>
            </w:r>
          </w:p>
        </w:tc>
        <w:tc>
          <w:tcPr>
            <w:tcW w:w="6130" w:type="dxa"/>
            <w:tcBorders>
              <w:top w:val="nil"/>
              <w:left w:val="nil"/>
              <w:bottom w:val="single" w:color="auto" w:sz="4"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其他各级资本要求（%）</w:t>
            </w:r>
          </w:p>
        </w:tc>
        <w:tc>
          <w:tcPr>
            <w:tcW w:w="2098" w:type="dxa"/>
            <w:tcBorders>
              <w:top w:val="nil"/>
              <w:left w:val="nil"/>
              <w:bottom w:val="single" w:color="auto" w:sz="4"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58</w:t>
            </w:r>
          </w:p>
        </w:tc>
        <w:tc>
          <w:tcPr>
            <w:tcW w:w="6130"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8"/>
                <w:rFonts w:hAnsi="宋体"/>
                <w:bdr w:val="none" w:color="auto" w:sz="0" w:space="0"/>
                <w:lang w:val="en-US" w:eastAsia="zh-CN" w:bidi="ar"/>
              </w:rPr>
              <w:t xml:space="preserve">    其中：储备资本要求</w:t>
            </w:r>
          </w:p>
        </w:tc>
        <w:tc>
          <w:tcPr>
            <w:tcW w:w="2098" w:type="dxa"/>
            <w:tcBorders>
              <w:top w:val="single" w:color="auto" w:sz="4" w:space="0"/>
              <w:left w:val="single" w:color="auto" w:sz="4" w:space="0"/>
              <w:bottom w:val="single" w:color="auto" w:sz="4" w:space="0"/>
              <w:right w:val="single" w:color="auto" w:sz="4"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single" w:color="auto" w:sz="4" w:space="0"/>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59</w:t>
            </w:r>
          </w:p>
        </w:tc>
        <w:tc>
          <w:tcPr>
            <w:tcW w:w="6130" w:type="dxa"/>
            <w:tcBorders>
              <w:top w:val="single" w:color="auto" w:sz="4"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8"/>
                <w:rFonts w:hAnsi="宋体"/>
                <w:bdr w:val="none" w:color="auto" w:sz="0" w:space="0"/>
                <w:lang w:val="en-US" w:eastAsia="zh-CN" w:bidi="ar"/>
              </w:rPr>
              <w:t xml:space="preserve">    其中：逆周期资本要求</w:t>
            </w:r>
          </w:p>
        </w:tc>
        <w:tc>
          <w:tcPr>
            <w:tcW w:w="2098" w:type="dxa"/>
            <w:tcBorders>
              <w:top w:val="single" w:color="auto" w:sz="4"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49"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60</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Style w:val="8"/>
                <w:rFonts w:hAnsi="宋体"/>
                <w:bdr w:val="none" w:color="auto" w:sz="0" w:space="0"/>
                <w:lang w:val="en-US" w:eastAsia="zh-CN" w:bidi="ar"/>
              </w:rPr>
              <w:t xml:space="preserve">    其中：全球系统重要性银行或国内系统重要性银行附加资本要求</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79"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61</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满足最低资本要求后的可用核心一级资本净额占风险加权资产的比例（%）</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12.27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我国最低监管资本要求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62</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核心一级资本充足率（%）</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63</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一级资本充足率（%）</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64</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资本充足率（%）</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left"/>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门槛扣除项中未扣除部分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65</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对未并表金融机构的小额少数资本投资中的未扣除部分</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630"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65a</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对未并表金融机构的小额投资中的TLAC非资本债务工具未扣除部分（仅适用全球系统重要性银行）</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66</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对未并表金融机构的大额少数资本投资未扣除部分</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14"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67</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其他依赖于银行未来盈利的净递延税资产（扣除递延税负债）</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8719" w:type="dxa"/>
            <w:gridSpan w:val="3"/>
            <w:tcBorders>
              <w:top w:val="nil"/>
              <w:left w:val="single" w:color="000000" w:sz="8" w:space="0"/>
              <w:bottom w:val="single" w:color="000000" w:sz="8" w:space="0"/>
              <w:right w:val="single" w:color="000000" w:sz="8" w:space="0"/>
            </w:tcBorders>
            <w:shd w:val="clear" w:color="auto" w:fill="A5A5A5"/>
            <w:vAlign w:val="center"/>
          </w:tcPr>
          <w:p>
            <w:pPr>
              <w:keepNext w:val="0"/>
              <w:keepLines w:val="0"/>
              <w:widowControl/>
              <w:suppressLineNumbers w:val="0"/>
              <w:jc w:val="both"/>
              <w:textAlignment w:val="center"/>
              <w:rPr>
                <w:rFonts w:hint="default" w:ascii="仿宋_GB2312" w:hAnsi="宋体" w:eastAsia="仿宋_GB2312" w:cs="仿宋_GB2312"/>
                <w:b/>
                <w:bCs/>
                <w:i w:val="0"/>
                <w:iCs w:val="0"/>
                <w:color w:val="000000"/>
                <w:sz w:val="18"/>
                <w:szCs w:val="18"/>
                <w:u w:val="none"/>
              </w:rPr>
            </w:pPr>
            <w:r>
              <w:rPr>
                <w:rFonts w:hint="default" w:ascii="仿宋_GB2312" w:hAnsi="宋体" w:eastAsia="仿宋_GB2312" w:cs="仿宋_GB2312"/>
                <w:b/>
                <w:bCs/>
                <w:i w:val="0"/>
                <w:iCs w:val="0"/>
                <w:color w:val="000000"/>
                <w:kern w:val="0"/>
                <w:sz w:val="18"/>
                <w:szCs w:val="18"/>
                <w:u w:val="none"/>
                <w:bdr w:val="none" w:color="auto" w:sz="0" w:space="0"/>
                <w:lang w:val="en-US" w:eastAsia="zh-CN" w:bidi="ar"/>
              </w:rPr>
              <w:t>可计入二级资本的超额损失准备的限额</w:t>
            </w:r>
            <w:r>
              <w:rPr>
                <w:rStyle w:val="8"/>
                <w:rFonts w:hAnsi="宋体"/>
                <w:bdr w:val="none" w:color="auto" w:sz="0" w:space="0"/>
                <w:lang w:val="en-US" w:eastAsia="zh-CN" w:bidi="ar"/>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68</w:t>
            </w:r>
          </w:p>
        </w:tc>
        <w:tc>
          <w:tcPr>
            <w:tcW w:w="6130"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权重法下，实际计提的超额损失准备金额</w:t>
            </w:r>
          </w:p>
        </w:tc>
        <w:tc>
          <w:tcPr>
            <w:tcW w:w="2098" w:type="dxa"/>
            <w:tcBorders>
              <w:top w:val="single" w:color="000000" w:sz="8" w:space="0"/>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137811.82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6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69</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权重法下，可计入二级资本超额损失准备的数额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 xml:space="preserve">23690.39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335"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70</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内部评级法下，实际计提的超额损失准备金额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1" w:hRule="atLeast"/>
          <w:jc w:val="center"/>
        </w:trPr>
        <w:tc>
          <w:tcPr>
            <w:tcW w:w="491" w:type="dxa"/>
            <w:tcBorders>
              <w:top w:val="nil"/>
              <w:left w:val="single" w:color="000000" w:sz="8" w:space="0"/>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71</w:t>
            </w:r>
          </w:p>
        </w:tc>
        <w:tc>
          <w:tcPr>
            <w:tcW w:w="6130" w:type="dxa"/>
            <w:tcBorders>
              <w:top w:val="nil"/>
              <w:left w:val="nil"/>
              <w:bottom w:val="single" w:color="000000" w:sz="8" w:space="0"/>
              <w:right w:val="single" w:color="000000" w:sz="8" w:space="0"/>
            </w:tcBorders>
            <w:shd w:val="clear"/>
            <w:vAlign w:val="center"/>
          </w:tcPr>
          <w:p>
            <w:pPr>
              <w:keepNext w:val="0"/>
              <w:keepLines w:val="0"/>
              <w:widowControl/>
              <w:suppressLineNumbers w:val="0"/>
              <w:jc w:val="both"/>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内部评级法下，可计入二级资本超额损失准备的数额</w:t>
            </w:r>
          </w:p>
        </w:tc>
        <w:tc>
          <w:tcPr>
            <w:tcW w:w="2098" w:type="dxa"/>
            <w:tcBorders>
              <w:top w:val="nil"/>
              <w:left w:val="nil"/>
              <w:bottom w:val="single" w:color="000000" w:sz="8" w:space="0"/>
              <w:right w:val="single" w:color="000000" w:sz="8" w:space="0"/>
            </w:tcBorders>
            <w:shd w:val="clear"/>
            <w:vAlign w:val="center"/>
          </w:tcPr>
          <w:p>
            <w:pPr>
              <w:keepNext w:val="0"/>
              <w:keepLines w:val="0"/>
              <w:widowControl/>
              <w:suppressLineNumbers w:val="0"/>
              <w:jc w:val="center"/>
              <w:textAlignment w:val="center"/>
              <w:rPr>
                <w:rFonts w:hint="default" w:ascii="仿宋_GB2312" w:hAnsi="宋体" w:eastAsia="仿宋_GB2312" w:cs="仿宋_GB2312"/>
                <w:i w:val="0"/>
                <w:iCs w:val="0"/>
                <w:color w:val="000000"/>
                <w:sz w:val="18"/>
                <w:szCs w:val="18"/>
                <w:u w:val="none"/>
              </w:rPr>
            </w:pPr>
            <w:r>
              <w:rPr>
                <w:rFonts w:hint="default" w:ascii="仿宋_GB2312" w:hAnsi="宋体" w:eastAsia="仿宋_GB2312" w:cs="仿宋_GB2312"/>
                <w:i w:val="0"/>
                <w:iCs w:val="0"/>
                <w:color w:val="000000"/>
                <w:kern w:val="0"/>
                <w:sz w:val="18"/>
                <w:szCs w:val="18"/>
                <w:u w:val="none"/>
                <w:bdr w:val="none" w:color="auto" w:sz="0" w:space="0"/>
                <w:lang w:val="en-US" w:eastAsia="zh-CN" w:bidi="ar"/>
              </w:rPr>
              <w:t>0</w:t>
            </w:r>
          </w:p>
        </w:tc>
      </w:tr>
    </w:tbl>
    <w:p>
      <w:pPr>
        <w:rPr>
          <w:rFonts w:hint="eastAsia"/>
          <w:sz w:val="18"/>
          <w:szCs w:val="18"/>
        </w:rPr>
      </w:pPr>
    </w:p>
    <w:p>
      <w:pPr>
        <w:jc w:val="both"/>
        <w:rPr>
          <w:rFonts w:hint="eastAsia"/>
          <w:sz w:val="18"/>
          <w:szCs w:val="18"/>
        </w:rPr>
      </w:pPr>
    </w:p>
    <w:p>
      <w:pPr>
        <w:rPr>
          <w:rFonts w:hint="eastAsia"/>
          <w:sz w:val="18"/>
          <w:szCs w:val="1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2061E9A"/>
    <w:rsid w:val="077A1F3E"/>
    <w:rsid w:val="09B53407"/>
    <w:rsid w:val="12A97760"/>
    <w:rsid w:val="1AED613D"/>
    <w:rsid w:val="1EBB5BAB"/>
    <w:rsid w:val="257F10F3"/>
    <w:rsid w:val="2BE01DEE"/>
    <w:rsid w:val="2C9A3B3C"/>
    <w:rsid w:val="33E22B2C"/>
    <w:rsid w:val="3F3136A7"/>
    <w:rsid w:val="3FC823FE"/>
    <w:rsid w:val="447D115D"/>
    <w:rsid w:val="4A314D53"/>
    <w:rsid w:val="4C9B7E0C"/>
    <w:rsid w:val="56C81DBB"/>
    <w:rsid w:val="57A8449C"/>
    <w:rsid w:val="5B1B3D90"/>
    <w:rsid w:val="5C752E5F"/>
    <w:rsid w:val="6B8625B8"/>
    <w:rsid w:val="6BC9262E"/>
    <w:rsid w:val="6BDB059F"/>
    <w:rsid w:val="71F80D38"/>
    <w:rsid w:val="721B45F4"/>
    <w:rsid w:val="7455676B"/>
    <w:rsid w:val="79233540"/>
    <w:rsid w:val="7DC97F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US" w:eastAsia="en-US"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Title"/>
    <w:basedOn w:val="1"/>
    <w:next w:val="3"/>
    <w:qFormat/>
    <w:uiPriority w:val="0"/>
    <w:pPr>
      <w:spacing w:before="240" w:after="60"/>
      <w:jc w:val="center"/>
      <w:outlineLvl w:val="0"/>
    </w:pPr>
    <w:rPr>
      <w:rFonts w:ascii="Cambria" w:hAnsi="Cambria" w:cs="Calibri"/>
      <w:b/>
      <w:bCs/>
      <w:sz w:val="32"/>
      <w:szCs w:val="32"/>
    </w:rPr>
  </w:style>
  <w:style w:type="paragraph" w:customStyle="1" w:styleId="3">
    <w:name w:val="正文文本缩进1"/>
    <w:basedOn w:val="1"/>
    <w:qFormat/>
    <w:uiPriority w:val="0"/>
    <w:pPr>
      <w:spacing w:after="120"/>
      <w:ind w:left="420" w:leftChars="200"/>
    </w:pPr>
    <w:rPr>
      <w:rFonts w:ascii="Calibri" w:hAnsi="Calibri" w:cs="黑体"/>
    </w:rPr>
  </w:style>
  <w:style w:type="character" w:customStyle="1" w:styleId="6">
    <w:name w:val="font11"/>
    <w:basedOn w:val="5"/>
    <w:qFormat/>
    <w:uiPriority w:val="0"/>
    <w:rPr>
      <w:rFonts w:hint="eastAsia" w:ascii="仿宋_GB2312" w:eastAsia="仿宋_GB2312" w:cs="仿宋_GB2312"/>
      <w:color w:val="000000"/>
      <w:sz w:val="28"/>
      <w:szCs w:val="28"/>
      <w:u w:val="none"/>
    </w:rPr>
  </w:style>
  <w:style w:type="character" w:customStyle="1" w:styleId="7">
    <w:name w:val="font21"/>
    <w:basedOn w:val="5"/>
    <w:qFormat/>
    <w:uiPriority w:val="0"/>
    <w:rPr>
      <w:rFonts w:hint="eastAsia" w:ascii="仿宋_GB2312" w:eastAsia="仿宋_GB2312" w:cs="仿宋_GB2312"/>
      <w:b/>
      <w:bCs/>
      <w:color w:val="000000"/>
      <w:sz w:val="28"/>
      <w:szCs w:val="28"/>
      <w:u w:val="none"/>
    </w:rPr>
  </w:style>
  <w:style w:type="character" w:customStyle="1" w:styleId="8">
    <w:name w:val="font01"/>
    <w:basedOn w:val="5"/>
    <w:uiPriority w:val="0"/>
    <w:rPr>
      <w:rFonts w:hint="default" w:ascii="仿宋_GB2312" w:eastAsia="仿宋_GB2312" w:cs="仿宋_GB2312"/>
      <w:color w:val="000000"/>
      <w:sz w:val="18"/>
      <w:szCs w:val="18"/>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Office_11.8.2.11813_F1E327BC-269C-435d-A152-05C5408002CA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2024-07-20T02:52:00Z</dcterms:created>
  <dc:creator>Administrator</dc:creator>
  <cp:lastModifiedBy>肖薇</cp:lastModifiedBy>
  <cp:lastPrinted>2024-08-05T11:00:00Z</cp:lastPrinted>
  <dcterms:modified xsi:type="dcterms:W3CDTF">2025-07-19T03:12:14Z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9E46FDD71C374B5EAD29318750CBC19E</vt:lpwstr>
  </property>
</Properties>
</file>