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江苏建湖农村商业银行股份有限公司</w:t>
      </w:r>
    </w:p>
    <w:p>
      <w:pPr>
        <w:spacing w:line="70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2024年上半年第三支柱信息披露报告</w:t>
      </w:r>
    </w:p>
    <w:p>
      <w:pPr>
        <w:jc w:val="both"/>
        <w:rPr>
          <w:rFonts w:hint="eastAsia"/>
          <w:sz w:val="18"/>
          <w:szCs w:val="18"/>
          <w:lang w:val="en-US" w:eastAsia="zh-CN"/>
        </w:rPr>
      </w:pPr>
    </w:p>
    <w:p>
      <w:pPr>
        <w:jc w:val="both"/>
        <w:rPr>
          <w:rFonts w:hint="eastAsia"/>
          <w:sz w:val="30"/>
          <w:szCs w:val="30"/>
          <w:lang w:val="en-US" w:eastAsia="zh-CN"/>
        </w:rPr>
      </w:pPr>
      <w:r>
        <w:rPr>
          <w:rFonts w:hint="eastAsia"/>
          <w:sz w:val="18"/>
          <w:szCs w:val="18"/>
          <w:lang w:val="en-US" w:eastAsia="zh-CN"/>
        </w:rPr>
        <w:t>表格KM1：监管并表关键审慎监管指标</w:t>
      </w:r>
    </w:p>
    <w:p>
      <w:pPr>
        <w:jc w:val="right"/>
        <w:rPr>
          <w:rFonts w:hint="eastAsia"/>
          <w:sz w:val="18"/>
          <w:szCs w:val="18"/>
          <w:lang w:val="en-US" w:eastAsia="zh-CN"/>
        </w:rPr>
      </w:pPr>
      <w:r>
        <w:rPr>
          <w:rFonts w:hint="eastAsia"/>
          <w:sz w:val="18"/>
          <w:szCs w:val="18"/>
          <w:lang w:val="en-US" w:eastAsia="zh-CN"/>
        </w:rPr>
        <w:t>单位：人民币万元</w:t>
      </w:r>
    </w:p>
    <w:tbl>
      <w:tblPr>
        <w:tblStyle w:val="5"/>
        <w:tblW w:w="861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01"/>
        <w:gridCol w:w="3519"/>
        <w:gridCol w:w="1966"/>
        <w:gridCol w:w="2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 w:hRule="atLeast"/>
          <w:jc w:val="center"/>
        </w:trPr>
        <w:tc>
          <w:tcPr>
            <w:tcW w:w="462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a</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620"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eastAsia" w:ascii="仿宋_GB2312" w:hAnsi="宋体" w:eastAsia="仿宋_GB2312" w:cs="仿宋_GB2312"/>
                <w:i w:val="0"/>
                <w:iCs w:val="0"/>
                <w:color w:val="000000"/>
                <w:sz w:val="18"/>
                <w:szCs w:val="18"/>
                <w:u w:val="none"/>
              </w:rPr>
            </w:pP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2024年6月30日</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2024年3月31日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61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可用资本（数额）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w:t>
            </w:r>
          </w:p>
        </w:tc>
        <w:tc>
          <w:tcPr>
            <w:tcW w:w="35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核心一级资本净额</w:t>
            </w: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234961.64</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231497.00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一级资本净额</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234961.64</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231497.00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资本净额</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257741.22</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254195.57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61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风险加权资产（数额）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w:t>
            </w:r>
          </w:p>
        </w:tc>
        <w:tc>
          <w:tcPr>
            <w:tcW w:w="35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风险加权资产合计</w:t>
            </w: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1983159.13</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1976948.60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61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资本充足率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w:t>
            </w:r>
          </w:p>
        </w:tc>
        <w:tc>
          <w:tcPr>
            <w:tcW w:w="35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核心一级资本充足率（%）</w:t>
            </w: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11.85</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一级资本充足率（%）</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11.85</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7</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资本充足率（%）</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13.00 </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61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8</w:t>
            </w:r>
          </w:p>
        </w:tc>
        <w:tc>
          <w:tcPr>
            <w:tcW w:w="35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储备资本要求（%）</w:t>
            </w: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9</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逆周期资本要求（%）</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71"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10</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全球系统重要性银行或国内系统重要性银行附加资本要求（%）</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lang w:val="en-US" w:eastAsia="en-US" w:bidi="ar-SA"/>
              </w:rPr>
            </w:pPr>
            <w:r>
              <w:rPr>
                <w:rFonts w:hint="eastAsia" w:ascii="仿宋_GB2312" w:hAnsi="宋体" w:eastAsia="仿宋_GB2312" w:cs="仿宋_GB2312"/>
                <w:i w:val="0"/>
                <w:iCs w:val="0"/>
                <w:color w:val="000000"/>
                <w:kern w:val="0"/>
                <w:sz w:val="18"/>
                <w:szCs w:val="18"/>
                <w:u w:val="none"/>
                <w:lang w:val="en-US" w:eastAsia="zh-CN" w:bidi="ar"/>
              </w:rPr>
              <w:t>——</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lang w:val="en-US" w:eastAsia="en-US" w:bidi="ar-SA"/>
              </w:rPr>
            </w:pPr>
            <w:r>
              <w:rPr>
                <w:rFonts w:hint="eastAsia"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9"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11</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其他各级资本要求（%）（8+9+10）</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12</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满足最低资本要求后的可用核心一级资本净额占风险加权资产的比例（%）</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61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杠杆率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13</w:t>
            </w:r>
          </w:p>
        </w:tc>
        <w:tc>
          <w:tcPr>
            <w:tcW w:w="35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调整后表内外资产余额</w:t>
            </w: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3395530.15</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3499559.62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14</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杠杆率（%）</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6.92</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14a</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杠杆率a（%）</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6.92</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61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流动性覆盖率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15</w:t>
            </w:r>
          </w:p>
        </w:tc>
        <w:tc>
          <w:tcPr>
            <w:tcW w:w="35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合格优质流动性资产</w:t>
            </w: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533896.9</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473858.45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16</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现金净流出量</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184318.95</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247261.6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17</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流动性覆盖率（%）</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61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净稳定资金比例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18</w:t>
            </w:r>
          </w:p>
        </w:tc>
        <w:tc>
          <w:tcPr>
            <w:tcW w:w="35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可用稳定资金合计</w:t>
            </w: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19</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所需稳定资金合计</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w:t>
            </w:r>
          </w:p>
        </w:tc>
        <w:tc>
          <w:tcPr>
            <w:tcW w:w="35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净稳定资金比例（%）</w:t>
            </w:r>
          </w:p>
        </w:tc>
        <w:tc>
          <w:tcPr>
            <w:tcW w:w="196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w:t>
            </w:r>
          </w:p>
        </w:tc>
        <w:tc>
          <w:tcPr>
            <w:tcW w:w="203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861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流动性比例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11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21</w:t>
            </w:r>
          </w:p>
        </w:tc>
        <w:tc>
          <w:tcPr>
            <w:tcW w:w="35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流动性比例（%）</w:t>
            </w:r>
          </w:p>
        </w:tc>
        <w:tc>
          <w:tcPr>
            <w:tcW w:w="196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122.72</w:t>
            </w:r>
          </w:p>
        </w:tc>
        <w:tc>
          <w:tcPr>
            <w:tcW w:w="203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91.03</w:t>
            </w:r>
          </w:p>
        </w:tc>
      </w:tr>
    </w:tbl>
    <w:p>
      <w:pPr>
        <w:rPr>
          <w:rFonts w:hint="eastAsia"/>
          <w:sz w:val="18"/>
          <w:szCs w:val="18"/>
        </w:rPr>
      </w:pPr>
    </w:p>
    <w:p>
      <w:pPr>
        <w:rPr>
          <w:rFonts w:hint="eastAsia"/>
          <w:sz w:val="18"/>
          <w:szCs w:val="18"/>
        </w:rPr>
      </w:pPr>
      <w:r>
        <w:rPr>
          <w:rFonts w:hint="eastAsia"/>
          <w:sz w:val="18"/>
          <w:szCs w:val="18"/>
        </w:rPr>
        <w:t>表格CC1：资本构成</w:t>
      </w:r>
    </w:p>
    <w:p>
      <w:pPr>
        <w:jc w:val="right"/>
        <w:rPr>
          <w:rFonts w:hint="eastAsia"/>
          <w:sz w:val="18"/>
          <w:szCs w:val="18"/>
        </w:rPr>
      </w:pPr>
      <w:r>
        <w:rPr>
          <w:rFonts w:hint="eastAsia"/>
          <w:sz w:val="18"/>
          <w:szCs w:val="18"/>
        </w:rPr>
        <w:t>单位：人民币万元</w:t>
      </w:r>
    </w:p>
    <w:tbl>
      <w:tblPr>
        <w:tblStyle w:val="5"/>
        <w:tblW w:w="895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3"/>
        <w:gridCol w:w="6095"/>
        <w:gridCol w:w="2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31" w:hRule="atLeast"/>
          <w:jc w:val="center"/>
        </w:trPr>
        <w:tc>
          <w:tcPr>
            <w:tcW w:w="658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2024年6月30日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6588"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eastAsia" w:ascii="仿宋_GB2312" w:hAnsi="宋体" w:eastAsia="仿宋_GB2312" w:cs="仿宋_GB2312"/>
                <w:i w:val="0"/>
                <w:iCs w:val="0"/>
                <w:color w:val="000000"/>
                <w:sz w:val="18"/>
                <w:szCs w:val="18"/>
                <w:u w:val="none"/>
              </w:rPr>
            </w:pP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核心一级资本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实收资本和资本公积可计入部分</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146772.57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留存收益</w:t>
            </w:r>
          </w:p>
        </w:tc>
        <w:tc>
          <w:tcPr>
            <w:tcW w:w="2371" w:type="dxa"/>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2a</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盈余公积</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24949.47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2b</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一般风险准备</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46996.73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2c</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未分配利润</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18497.19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累计其他综合收益</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323.98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少数股东资本可计入部分</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扣除前的核心一级资本</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237539.94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核心一级资本：扣除项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审慎估值调整</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7</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商誉（扣除递延税负债）</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8</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其他无形资产（土地使用权除外）（扣除递延税负债）</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660.15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9</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依赖未来盈利的由经营亏损引起的净递延税资产</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lang w:val="en-US" w:eastAsia="zh-CN"/>
              </w:rPr>
            </w:pPr>
            <w:r>
              <w:rPr>
                <w:rFonts w:hint="eastAsia" w:ascii="仿宋_GB2312" w:hAnsi="宋体" w:eastAsia="仿宋_GB2312" w:cs="仿宋_GB2312"/>
                <w:i w:val="0"/>
                <w:iCs w:val="0"/>
                <w:color w:val="000000"/>
                <w:sz w:val="18"/>
                <w:szCs w:val="18"/>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10</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对未按公允价值计量的项目进行套期形成的现金流储备</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11</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损失准备缺口</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12</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资产证券化销售利得</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13</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自身信用风险变化导致其负债公允价值变化带来的未实现损益</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14</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确定受益类的养老金资产净额（扣除递延税项负债）</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15</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直接或间接持有本银行的股票</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16</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银行间或银行与其他金融机构间通过协议相互持有的核心一级资本</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17</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对未并表金融机构小额少数资本投资中的核心一级资本中应扣除金额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18</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对未并表金融机构大额少数资本投资中的核心一级资本中应扣除金额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19</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其他依赖于银行未来盈利的净递延税资产中应扣除金额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1918.15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20</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对未并表金融机构大额少数资本投资中的核心一级资本和其他依赖于银行未来盈利的净递延税资产的未扣除部分超过核心一级资本15%的应扣除金额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21</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    其中：应在对金融机构大额少数资本投资中扣除的金额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22</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    其中：应在其他依赖于银行未来盈利的净递延税资产中扣除的金额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23</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其他应在核心一级资本中扣除的项目合计</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24</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应从其他一级资本和二级资本中扣除的未扣缺口</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核心一级资本扣除项总和</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2578.3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26</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核心一级资本净额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234961.64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其他一级资本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27</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其他一级资本工具及其溢价</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28</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    其中：权益部分</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29</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    其中：负债部分</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30</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少数股东资本可计入部分</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31</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扣除前的其他一级资本</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其他一级资本:扣除项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32</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直接或间接持有的本银行其他一级资本</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33</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银行间或银行与其他金融机构间通过协议相互持有的其他一级资本</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34</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对未并表金融机构小额少数资本投资中的其他一级资本中应扣除金额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35</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对未并表金融机构大额少数资本投资中的其他一级资本</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36</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其他应在其他一级资本中扣除的项目合计</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37</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应从二级资本中扣除的未扣缺口</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38</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其他一级资本扣除项总和</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39</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其他一级资本净额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40</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一级资本净额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234961.64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41</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二级资本工具及其溢价</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42</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少数股东资本可计入部分</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43</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超额损失准备可计入部分</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22779.58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9"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44</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扣除前的二级资本</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22779.58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二级资本：扣除项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45</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直接或间接持有的本银行的二级资本</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46</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银行间或银行与其他金融机构间通过协议相互持有的二级资本投资及TLAC非资本债务工具投资</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47</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对未并表金融机构小额少数资本投资中的二级资本应扣除金额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47a</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对未并表金融机构的小额投资中的TLAC非资本债务工具中应扣除金额（仅适用全球系统重要性银行）</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48</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对未并表金融机构大额少数资本投资中的二级资本应扣除金额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48a</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对未并表金融机构大额投资中的TLAC非资本债务工具中应扣除金额（仅适用全球系统重要性银行）</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49</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其他应在二级资本中扣除的项目合计</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50</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二级资本扣除项总和</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51</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二级资本净额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22779.58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52</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总资本净额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257741.22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53</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lang w:val="en-US"/>
              </w:rPr>
            </w:pPr>
            <w:bookmarkStart w:id="0" w:name="_GoBack"/>
            <w:bookmarkEnd w:id="0"/>
            <w:r>
              <w:rPr>
                <w:rFonts w:hint="eastAsia" w:ascii="仿宋_GB2312" w:hAnsi="宋体" w:eastAsia="仿宋_GB2312" w:cs="仿宋_GB2312"/>
                <w:b/>
                <w:bCs/>
                <w:i w:val="0"/>
                <w:iCs w:val="0"/>
                <w:color w:val="000000"/>
                <w:kern w:val="0"/>
                <w:sz w:val="18"/>
                <w:szCs w:val="18"/>
                <w:u w:val="none"/>
                <w:lang w:val="en-US" w:eastAsia="zh-CN" w:bidi="ar"/>
              </w:rPr>
              <w:t>RWA</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1983159.13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资本充足率和其他各级资本要求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54</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核心一级资本充足率（%）</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55</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一级资本充足率（%）</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11.85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56</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资本充足率（%）</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13.00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57</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其他各级资本要求（%）</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58</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    其中：储备资本要求</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59</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    其中：逆周期资本要求</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60</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 xml:space="preserve">    其中：全球系统重要性银行或国内系统重要性银行附加资本要求</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4"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61</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满足最低资本要求后的可用核心一级资本净额占风险加权资产的比例（%）</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我国最低监管资本要求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62</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核心一级资本充足率（%）</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63</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一级资本充足率（%）</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79"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64</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资本充足率（%）</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门槛扣除项中未扣除部分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65</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对未并表金融机构的小额少数资本投资中的未扣除部分</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65a</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对未并表金融机构的小额投资中的TLAC非资本债务工具未扣除部分（仅适用全球系统重要性银行）</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66</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对未并表金融机构的大额少数资本投资未扣除部分</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67</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其他依赖于银行未来盈利的净递延税资产（扣除递延税负债）</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25606.13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895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both"/>
              <w:textAlignment w:val="center"/>
              <w:rPr>
                <w:rFonts w:hint="eastAsia" w:ascii="仿宋_GB2312" w:hAnsi="宋体" w:eastAsia="仿宋_GB2312" w:cs="仿宋_GB2312"/>
                <w:b/>
                <w:bCs/>
                <w:i w:val="0"/>
                <w:iCs w:val="0"/>
                <w:color w:val="000000"/>
                <w:sz w:val="18"/>
                <w:szCs w:val="18"/>
                <w:u w:val="none"/>
              </w:rPr>
            </w:pPr>
            <w:r>
              <w:rPr>
                <w:rFonts w:hint="eastAsia" w:ascii="仿宋_GB2312" w:hAnsi="宋体" w:eastAsia="仿宋_GB2312" w:cs="仿宋_GB2312"/>
                <w:b/>
                <w:bCs/>
                <w:i w:val="0"/>
                <w:iCs w:val="0"/>
                <w:color w:val="000000"/>
                <w:kern w:val="0"/>
                <w:sz w:val="18"/>
                <w:szCs w:val="18"/>
                <w:u w:val="none"/>
                <w:lang w:val="en-US" w:eastAsia="zh-CN" w:bidi="ar"/>
              </w:rPr>
              <w:t>可计入二级资本的超额损失准备的限额</w:t>
            </w:r>
            <w:r>
              <w:rPr>
                <w:rFonts w:hint="eastAsia" w:ascii="仿宋_GB2312" w:hAnsi="宋体" w:eastAsia="仿宋_GB2312" w:cs="仿宋_GB2312"/>
                <w:i w:val="0"/>
                <w:iCs w:val="0"/>
                <w:color w:val="000000"/>
                <w:kern w:val="0"/>
                <w:sz w:val="18"/>
                <w:szCs w:val="18"/>
                <w:u w:val="no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68</w:t>
            </w:r>
          </w:p>
        </w:tc>
        <w:tc>
          <w:tcPr>
            <w:tcW w:w="60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权重法下，实际计提的超额损失准备金额</w:t>
            </w:r>
          </w:p>
        </w:tc>
        <w:tc>
          <w:tcPr>
            <w:tcW w:w="237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85253.68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69</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权重法下，可计入二级资本超额损失准备的数额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22779.58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70</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内部评级法下，实际计提的超额损失准备金额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1" w:hRule="atLeast"/>
          <w:jc w:val="center"/>
        </w:trPr>
        <w:tc>
          <w:tcPr>
            <w:tcW w:w="493"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71</w:t>
            </w:r>
          </w:p>
        </w:tc>
        <w:tc>
          <w:tcPr>
            <w:tcW w:w="60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内部评级法下，可计入二级资本超额损失准备的数额</w:t>
            </w:r>
          </w:p>
        </w:tc>
        <w:tc>
          <w:tcPr>
            <w:tcW w:w="237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w:t>
            </w:r>
          </w:p>
        </w:tc>
      </w:tr>
    </w:tbl>
    <w:p>
      <w:pPr>
        <w:rPr>
          <w:rFonts w:hint="eastAsia"/>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61E9A"/>
    <w:rsid w:val="067F4848"/>
    <w:rsid w:val="077A1F3E"/>
    <w:rsid w:val="09B53407"/>
    <w:rsid w:val="12A97760"/>
    <w:rsid w:val="1AED613D"/>
    <w:rsid w:val="257F10F3"/>
    <w:rsid w:val="2C9A3B3C"/>
    <w:rsid w:val="30554FED"/>
    <w:rsid w:val="33E22B2C"/>
    <w:rsid w:val="3F3136A7"/>
    <w:rsid w:val="3FC823FE"/>
    <w:rsid w:val="4A314D53"/>
    <w:rsid w:val="4C9B7E0C"/>
    <w:rsid w:val="57A8449C"/>
    <w:rsid w:val="5C752E5F"/>
    <w:rsid w:val="625365DA"/>
    <w:rsid w:val="6BC9262E"/>
    <w:rsid w:val="721B45F4"/>
    <w:rsid w:val="7455676B"/>
    <w:rsid w:val="7DC97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en-US"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Title"/>
    <w:basedOn w:val="1"/>
    <w:next w:val="3"/>
    <w:qFormat/>
    <w:uiPriority w:val="0"/>
    <w:pPr>
      <w:spacing w:before="240" w:after="60"/>
      <w:jc w:val="center"/>
      <w:outlineLvl w:val="0"/>
    </w:pPr>
    <w:rPr>
      <w:rFonts w:ascii="Cambria" w:hAnsi="Cambria" w:cs="Calibri"/>
      <w:b/>
      <w:bCs/>
      <w:sz w:val="32"/>
      <w:szCs w:val="32"/>
    </w:rPr>
  </w:style>
  <w:style w:type="paragraph" w:customStyle="1" w:styleId="3">
    <w:name w:val="正文文本缩进1"/>
    <w:basedOn w:val="1"/>
    <w:qFormat/>
    <w:uiPriority w:val="0"/>
    <w:pPr>
      <w:spacing w:after="120"/>
      <w:ind w:left="420" w:leftChars="200"/>
    </w:pPr>
    <w:rPr>
      <w:rFonts w:ascii="Calibri" w:hAnsi="Calibri" w:cs="黑体"/>
    </w:rPr>
  </w:style>
  <w:style w:type="character" w:customStyle="1" w:styleId="6">
    <w:name w:val="font11"/>
    <w:basedOn w:val="4"/>
    <w:qFormat/>
    <w:uiPriority w:val="0"/>
    <w:rPr>
      <w:rFonts w:hint="eastAsia" w:ascii="仿宋_GB2312" w:eastAsia="仿宋_GB2312" w:cs="仿宋_GB2312"/>
      <w:color w:val="000000"/>
      <w:sz w:val="28"/>
      <w:szCs w:val="28"/>
      <w:u w:val="none"/>
    </w:rPr>
  </w:style>
  <w:style w:type="character" w:customStyle="1" w:styleId="7">
    <w:name w:val="font21"/>
    <w:basedOn w:val="4"/>
    <w:qFormat/>
    <w:uiPriority w:val="0"/>
    <w:rPr>
      <w:rFonts w:hint="eastAsia" w:ascii="仿宋_GB2312" w:eastAsia="仿宋_GB2312" w:cs="仿宋_GB2312"/>
      <w:b/>
      <w:bCs/>
      <w:color w:val="00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2024-07-20T02:52:00Z</dcterms:created>
  <dc:creator>Administrator</dc:creator>
  <cp:lastModifiedBy>夏勇勇</cp:lastModifiedBy>
  <cp:lastPrinted>2024-08-05T11:00:00Z</cp:lastPrinted>
  <dcterms:modified xsi:type="dcterms:W3CDTF">2024-08-15T07:47:55Z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2052-10.8.2.7030</vt:lpwstr>
  </property>
  <property fmtid="{D5CDD505-2E9C-101B-9397-08002B2CF9AE}" pid="3" name="ICV">
    <vt:lpwstr>9E46FDD71C374B5EAD29318750CBC19E</vt:lpwstr>
  </property>
</Properties>
</file>